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55324" w14:textId="77777777" w:rsidR="00402EA6" w:rsidRPr="002D3365" w:rsidRDefault="00402EA6" w:rsidP="00402EA6">
      <w:pPr>
        <w:shd w:val="clear" w:color="auto" w:fill="FFFFFF"/>
        <w:spacing w:before="100" w:beforeAutospacing="1" w:after="75" w:line="240" w:lineRule="auto"/>
        <w:rPr>
          <w:rFonts w:eastAsia="Times New Roman" w:cs="Tahoma"/>
          <w:color w:val="000000"/>
          <w:sz w:val="28"/>
          <w:szCs w:val="28"/>
        </w:rPr>
      </w:pPr>
      <w:r w:rsidRPr="002D3365">
        <w:rPr>
          <w:rFonts w:eastAsia="Times New Roman" w:cs="Tahoma"/>
          <w:b/>
          <w:bCs/>
          <w:color w:val="000000"/>
          <w:sz w:val="28"/>
          <w:szCs w:val="28"/>
        </w:rPr>
        <w:t xml:space="preserve">Exemption for Professional Employees </w:t>
      </w:r>
      <w:r w:rsidR="00F3686B" w:rsidRPr="002D3365">
        <w:rPr>
          <w:rFonts w:eastAsia="Times New Roman" w:cs="Tahoma"/>
          <w:b/>
          <w:bCs/>
          <w:color w:val="000000"/>
          <w:sz w:val="28"/>
          <w:szCs w:val="28"/>
        </w:rPr>
        <w:t>under</w:t>
      </w:r>
      <w:r w:rsidRPr="002D3365">
        <w:rPr>
          <w:rFonts w:eastAsia="Times New Roman" w:cs="Tahoma"/>
          <w:b/>
          <w:bCs/>
          <w:color w:val="000000"/>
          <w:sz w:val="28"/>
          <w:szCs w:val="28"/>
        </w:rPr>
        <w:t xml:space="preserve"> the Fair Labor Standards Act (FLSA) </w:t>
      </w:r>
    </w:p>
    <w:p w14:paraId="14133E0F"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This fact sheet provides general information on the exemption from </w:t>
      </w:r>
      <w:hyperlink r:id="rId6" w:history="1">
        <w:r w:rsidRPr="002D3365">
          <w:rPr>
            <w:rFonts w:eastAsia="Times New Roman" w:cs="Tahoma"/>
            <w:color w:val="0000FF"/>
            <w:u w:val="single"/>
          </w:rPr>
          <w:t>minimum wage</w:t>
        </w:r>
      </w:hyperlink>
      <w:r w:rsidRPr="002D3365">
        <w:rPr>
          <w:rFonts w:eastAsia="Times New Roman" w:cs="Tahoma"/>
          <w:color w:val="000000"/>
        </w:rPr>
        <w:t xml:space="preserve"> and </w:t>
      </w:r>
      <w:hyperlink r:id="rId7" w:history="1">
        <w:r w:rsidRPr="002D3365">
          <w:rPr>
            <w:rFonts w:eastAsia="Times New Roman" w:cs="Tahoma"/>
            <w:color w:val="0000FF"/>
            <w:u w:val="single"/>
          </w:rPr>
          <w:t>overtime pay</w:t>
        </w:r>
      </w:hyperlink>
      <w:r w:rsidRPr="002D3365">
        <w:rPr>
          <w:rFonts w:eastAsia="Times New Roman" w:cs="Tahoma"/>
          <w:color w:val="000000"/>
        </w:rPr>
        <w:t xml:space="preserve"> provided by Section 13(a)(1) of the Fair Labor Standards Act as defined by Regulations, </w:t>
      </w:r>
      <w:hyperlink r:id="rId8" w:history="1">
        <w:r w:rsidRPr="002D3365">
          <w:rPr>
            <w:rFonts w:eastAsia="Times New Roman" w:cs="Tahoma"/>
            <w:color w:val="0000FF"/>
            <w:u w:val="single"/>
          </w:rPr>
          <w:t>29 CFR Part 541</w:t>
        </w:r>
      </w:hyperlink>
      <w:r w:rsidRPr="002D3365">
        <w:rPr>
          <w:rFonts w:eastAsia="Times New Roman" w:cs="Tahoma"/>
          <w:color w:val="000000"/>
        </w:rPr>
        <w:t xml:space="preserve">. </w:t>
      </w:r>
    </w:p>
    <w:p w14:paraId="41407ED8"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The </w:t>
      </w:r>
      <w:hyperlink r:id="rId9" w:history="1">
        <w:r w:rsidRPr="002D3365">
          <w:rPr>
            <w:rFonts w:eastAsia="Times New Roman" w:cs="Tahoma"/>
            <w:color w:val="0000FF"/>
            <w:u w:val="single"/>
          </w:rPr>
          <w:t>FLSA</w:t>
        </w:r>
      </w:hyperlink>
      <w:r w:rsidRPr="002D3365">
        <w:rPr>
          <w:rFonts w:eastAsia="Times New Roman" w:cs="Tahoma"/>
          <w:color w:val="000000"/>
        </w:rPr>
        <w:t xml:space="preserve"> requires that most employees in the United States be paid at least the </w:t>
      </w:r>
      <w:hyperlink r:id="rId10" w:history="1">
        <w:r w:rsidRPr="002D3365">
          <w:rPr>
            <w:rFonts w:eastAsia="Times New Roman" w:cs="Tahoma"/>
            <w:color w:val="0000FF"/>
            <w:u w:val="single"/>
          </w:rPr>
          <w:t>federal minimum wage</w:t>
        </w:r>
      </w:hyperlink>
      <w:r w:rsidRPr="002D3365">
        <w:rPr>
          <w:rFonts w:eastAsia="Times New Roman" w:cs="Tahoma"/>
          <w:color w:val="000000"/>
        </w:rPr>
        <w:t xml:space="preserve"> for all hours worked and </w:t>
      </w:r>
      <w:hyperlink r:id="rId11" w:history="1">
        <w:r w:rsidRPr="002D3365">
          <w:rPr>
            <w:rFonts w:eastAsia="Times New Roman" w:cs="Tahoma"/>
            <w:color w:val="0000FF"/>
            <w:u w:val="single"/>
          </w:rPr>
          <w:t>overtime pay</w:t>
        </w:r>
      </w:hyperlink>
      <w:r w:rsidRPr="002D3365">
        <w:rPr>
          <w:rFonts w:eastAsia="Times New Roman" w:cs="Tahoma"/>
          <w:color w:val="000000"/>
        </w:rPr>
        <w:t xml:space="preserve"> at time and one-half the regular rate of pay for all hours worked over 40 hours in a workweek.</w:t>
      </w:r>
    </w:p>
    <w:p w14:paraId="624F038D"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However, Section 13(a)(1) of the FLSA provides an exemption from both </w:t>
      </w:r>
      <w:hyperlink r:id="rId12" w:history="1">
        <w:r w:rsidRPr="002D3365">
          <w:rPr>
            <w:rFonts w:eastAsia="Times New Roman" w:cs="Tahoma"/>
            <w:color w:val="0000FF"/>
            <w:u w:val="single"/>
          </w:rPr>
          <w:t>minimum wage</w:t>
        </w:r>
      </w:hyperlink>
      <w:r w:rsidRPr="002D3365">
        <w:rPr>
          <w:rFonts w:eastAsia="Times New Roman" w:cs="Tahoma"/>
          <w:color w:val="000000"/>
        </w:rPr>
        <w:t xml:space="preserve"> and </w:t>
      </w:r>
      <w:hyperlink r:id="rId13" w:history="1">
        <w:r w:rsidRPr="002D3365">
          <w:rPr>
            <w:rFonts w:eastAsia="Times New Roman" w:cs="Tahoma"/>
            <w:color w:val="0000FF"/>
            <w:u w:val="single"/>
          </w:rPr>
          <w:t>overtime pay</w:t>
        </w:r>
      </w:hyperlink>
      <w:r w:rsidRPr="002D3365">
        <w:rPr>
          <w:rFonts w:eastAsia="Times New Roman" w:cs="Tahoma"/>
          <w:color w:val="000000"/>
        </w:rPr>
        <w:t xml:space="preserve"> for employees employed as bona fide executive, administrative, professional and outside sales employees.  Section 13(a</w:t>
      </w:r>
      <w:r w:rsidR="002D3365" w:rsidRPr="002D3365">
        <w:rPr>
          <w:rFonts w:eastAsia="Times New Roman" w:cs="Tahoma"/>
          <w:color w:val="000000"/>
        </w:rPr>
        <w:t>) (</w:t>
      </w:r>
      <w:r w:rsidRPr="002D3365">
        <w:rPr>
          <w:rFonts w:eastAsia="Times New Roman" w:cs="Tahoma"/>
          <w:color w:val="000000"/>
        </w:rPr>
        <w:t>1) and Section 13(a</w:t>
      </w:r>
      <w:r w:rsidR="002D3365" w:rsidRPr="002D3365">
        <w:rPr>
          <w:rFonts w:eastAsia="Times New Roman" w:cs="Tahoma"/>
          <w:color w:val="000000"/>
        </w:rPr>
        <w:t>) (</w:t>
      </w:r>
      <w:r w:rsidRPr="002D3365">
        <w:rPr>
          <w:rFonts w:eastAsia="Times New Roman" w:cs="Tahoma"/>
          <w:color w:val="000000"/>
        </w:rPr>
        <w:t>17) also exempt certain computer employees.  To qualify for exemption, employees generally must meet certain tests regarding their job duties and be paid on a salary basis at not less than $</w:t>
      </w:r>
      <w:r w:rsidR="00152EC8">
        <w:rPr>
          <w:rFonts w:eastAsia="Times New Roman" w:cs="Tahoma"/>
          <w:color w:val="000000"/>
        </w:rPr>
        <w:t>913</w:t>
      </w:r>
      <w:bookmarkStart w:id="0" w:name="_GoBack"/>
      <w:bookmarkEnd w:id="0"/>
      <w:r w:rsidRPr="002D3365">
        <w:rPr>
          <w:rFonts w:eastAsia="Times New Roman" w:cs="Tahoma"/>
          <w:color w:val="000000"/>
        </w:rPr>
        <w:t xml:space="preserve"> per week.  Job titles do not determine exempt status.  In order for an exemption to apply, an employee’s specific job duties and salary must meet all the requirements of the Department’s regulations.</w:t>
      </w:r>
    </w:p>
    <w:p w14:paraId="0C482552"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The specific requirements for exemption as a bona fide professional employee are summarized below.  There are two general types of exempt professional employees:  learned professionals and creative professionals.</w:t>
      </w:r>
    </w:p>
    <w:p w14:paraId="46CC803F"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bookmarkStart w:id="1" w:name="2"/>
      <w:bookmarkEnd w:id="1"/>
      <w:r w:rsidRPr="002D3365">
        <w:rPr>
          <w:rFonts w:eastAsia="Times New Roman" w:cs="Tahoma"/>
          <w:b/>
          <w:bCs/>
          <w:color w:val="000000"/>
          <w:u w:val="single"/>
        </w:rPr>
        <w:t>Learned Professional Exemption</w:t>
      </w:r>
    </w:p>
    <w:p w14:paraId="2E60D957"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To qualify for the learned professional employee exemption, all of the following tests must be met:</w:t>
      </w:r>
    </w:p>
    <w:p w14:paraId="547E9A06" w14:textId="77777777" w:rsidR="00402EA6" w:rsidRPr="002D3365" w:rsidRDefault="00402EA6" w:rsidP="00402EA6">
      <w:pPr>
        <w:shd w:val="clear" w:color="auto" w:fill="FFFFFF"/>
        <w:spacing w:before="100" w:beforeAutospacing="1" w:after="60" w:line="240" w:lineRule="auto"/>
        <w:rPr>
          <w:rFonts w:eastAsia="Times New Roman" w:cs="Tahoma"/>
          <w:color w:val="000000"/>
        </w:rPr>
      </w:pPr>
      <w:r w:rsidRPr="002D3365">
        <w:rPr>
          <w:rFonts w:eastAsia="Times New Roman" w:cs="Tahoma"/>
          <w:color w:val="000000"/>
        </w:rPr>
        <w:t xml:space="preserve">The employee must be compensated on a salary or fee basis (as defined in the regulations) at a rate not less than $913 per week; </w:t>
      </w:r>
    </w:p>
    <w:p w14:paraId="17E7B398" w14:textId="77777777" w:rsidR="00402EA6" w:rsidRPr="002D3365" w:rsidRDefault="00402EA6" w:rsidP="00402EA6">
      <w:pPr>
        <w:shd w:val="clear" w:color="auto" w:fill="FFFFFF"/>
        <w:spacing w:before="100" w:beforeAutospacing="1" w:after="60" w:line="240" w:lineRule="auto"/>
        <w:rPr>
          <w:rFonts w:eastAsia="Times New Roman" w:cs="Tahoma"/>
          <w:color w:val="000000"/>
        </w:rPr>
      </w:pPr>
      <w:r w:rsidRPr="002D3365">
        <w:rPr>
          <w:rFonts w:eastAsia="Times New Roman" w:cs="Tahoma"/>
          <w:color w:val="000000"/>
        </w:rPr>
        <w:t xml:space="preserve">The employee’s primary duty must be the performance of work requiring advanced knowledge, defined as work which is predominantly intellectual in character and which includes work requiring the consistent exercise of discretion and judgment; </w:t>
      </w:r>
    </w:p>
    <w:p w14:paraId="2EE198C6" w14:textId="77777777" w:rsidR="00402EA6" w:rsidRPr="002D3365" w:rsidRDefault="00402EA6" w:rsidP="00402EA6">
      <w:pPr>
        <w:shd w:val="clear" w:color="auto" w:fill="FFFFFF"/>
        <w:spacing w:before="100" w:beforeAutospacing="1" w:after="60" w:line="240" w:lineRule="auto"/>
        <w:rPr>
          <w:rFonts w:eastAsia="Times New Roman" w:cs="Tahoma"/>
          <w:color w:val="000000"/>
        </w:rPr>
      </w:pPr>
      <w:r w:rsidRPr="002D3365">
        <w:rPr>
          <w:rFonts w:eastAsia="Times New Roman" w:cs="Tahoma"/>
          <w:color w:val="000000"/>
        </w:rPr>
        <w:t xml:space="preserve">The advanced knowledge must be in a field of science or learning; and </w:t>
      </w:r>
    </w:p>
    <w:p w14:paraId="1FAEB381" w14:textId="77777777" w:rsidR="00402EA6" w:rsidRPr="002D3365" w:rsidRDefault="00402EA6" w:rsidP="00402EA6">
      <w:pPr>
        <w:shd w:val="clear" w:color="auto" w:fill="FFFFFF"/>
        <w:spacing w:before="100" w:beforeAutospacing="1" w:after="60" w:line="240" w:lineRule="auto"/>
        <w:rPr>
          <w:rFonts w:eastAsia="Times New Roman" w:cs="Tahoma"/>
          <w:color w:val="000000"/>
        </w:rPr>
      </w:pPr>
      <w:r w:rsidRPr="002D3365">
        <w:rPr>
          <w:rFonts w:eastAsia="Times New Roman" w:cs="Tahoma"/>
          <w:color w:val="000000"/>
        </w:rPr>
        <w:t xml:space="preserve">The advanced knowledge must be customarily acquired by a prolonged course of specialized intellectual instruction. </w:t>
      </w:r>
    </w:p>
    <w:p w14:paraId="0C2931F6"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Primary Duty</w:t>
      </w:r>
    </w:p>
    <w:p w14:paraId="236E5288"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“Primary duty” means the principal, main, major or most important duty that the employee performs.  Determination of an employee’s primary duty must be based on all the facts in a particular case, with the major emphasis on the character of the employee’s job as a whole.</w:t>
      </w:r>
    </w:p>
    <w:p w14:paraId="5A60ECAB"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Work Requiring Advanced Knowledge</w:t>
      </w:r>
    </w:p>
    <w:p w14:paraId="53643DFA"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“Work requiring advanced knowledge” means work which is predominantly intellectual in character, and which includes work requiring the consistent exercise of discretion and judgment.  Professional work is </w:t>
      </w:r>
      <w:r w:rsidRPr="002D3365">
        <w:rPr>
          <w:rFonts w:eastAsia="Times New Roman" w:cs="Tahoma"/>
          <w:color w:val="000000"/>
        </w:rPr>
        <w:lastRenderedPageBreak/>
        <w:t>therefore distinguished from work involving routine mental, manual, mechanical or physical work.  A professional employee generally uses the advanced knowledge to analyze, interpret or make deductions from varying facts or circumstances.  Advanced knowledge cannot be attained at the high school level.</w:t>
      </w:r>
    </w:p>
    <w:p w14:paraId="47AA8233" w14:textId="77777777" w:rsidR="00402EA6" w:rsidRPr="002D3365" w:rsidRDefault="00402EA6" w:rsidP="00402EA6">
      <w:pPr>
        <w:shd w:val="clear" w:color="auto" w:fill="FFFFFF"/>
        <w:spacing w:before="100" w:beforeAutospacing="1" w:after="75" w:line="240" w:lineRule="auto"/>
        <w:rPr>
          <w:rFonts w:eastAsia="Times New Roman" w:cs="Tahoma"/>
          <w:b/>
          <w:bCs/>
          <w:color w:val="000000"/>
        </w:rPr>
      </w:pPr>
    </w:p>
    <w:p w14:paraId="7351CB52"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Field of Science or Learning</w:t>
      </w:r>
    </w:p>
    <w:p w14:paraId="23F1FF1A"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Fields of science or learning include law, medicine, theology, accounting, actuarial computation, engineering, architecture, teaching, various types of physical, chemical and biological sciences, pharmacy and other occupations that have a recognized professional status and are distinguishable from the mechanical arts or skilled trades where the knowledge could be of a fairly advanced type, but is not in a field of science or learning.</w:t>
      </w:r>
    </w:p>
    <w:p w14:paraId="15D45B18"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Customarily Acquired by a Prolonged Course of Specialized Intellectual Instruction</w:t>
      </w:r>
    </w:p>
    <w:p w14:paraId="0EB7689C"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The learned professional exemption is restricted to professions where specialized academic training is a standard prerequisite for entrance into the profession.  The best evidence of meeting this requirement is having the appropriate academic degree.  However, the word “customarily” means the exemption may be available to employees in such professions who have substantially the same knowledge level and perform substantially the same work as the degreed employees, but who attained the advanced knowledge through a combination of work experience and intellectual instruction.  This exemption does not apply to occupations in which most employees acquire their skill by experience rather than by advanced specialized intellectual instruction.</w:t>
      </w:r>
    </w:p>
    <w:p w14:paraId="2D34E7B0"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u w:val="single"/>
        </w:rPr>
        <w:t>Creative Professional Exemption</w:t>
      </w:r>
    </w:p>
    <w:p w14:paraId="61A91B8F"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To qualify for the </w:t>
      </w:r>
      <w:r w:rsidRPr="002D3365">
        <w:rPr>
          <w:rFonts w:eastAsia="Times New Roman" w:cs="Tahoma"/>
          <w:b/>
          <w:bCs/>
          <w:color w:val="000000"/>
        </w:rPr>
        <w:t>creative professional</w:t>
      </w:r>
      <w:r w:rsidRPr="002D3365">
        <w:rPr>
          <w:rFonts w:eastAsia="Times New Roman" w:cs="Tahoma"/>
          <w:color w:val="000000"/>
        </w:rPr>
        <w:t xml:space="preserve"> employee exemption, all of the following tests must be met:</w:t>
      </w:r>
    </w:p>
    <w:p w14:paraId="2F9327E0" w14:textId="77777777" w:rsidR="00402EA6" w:rsidRPr="002D3365" w:rsidRDefault="00402EA6" w:rsidP="00402EA6">
      <w:pPr>
        <w:shd w:val="clear" w:color="auto" w:fill="FFFFFF"/>
        <w:spacing w:before="100" w:beforeAutospacing="1" w:after="60" w:line="240" w:lineRule="auto"/>
        <w:rPr>
          <w:rFonts w:eastAsia="Times New Roman" w:cs="Tahoma"/>
          <w:color w:val="000000"/>
        </w:rPr>
      </w:pPr>
      <w:r w:rsidRPr="002D3365">
        <w:rPr>
          <w:rFonts w:eastAsia="Times New Roman" w:cs="Tahoma"/>
          <w:color w:val="000000"/>
        </w:rPr>
        <w:t xml:space="preserve">The employee must be compensated on a salary or fee basis (as defined in the regulations) at a rate not less than $913 per week; </w:t>
      </w:r>
    </w:p>
    <w:p w14:paraId="3B6D7792" w14:textId="77777777" w:rsidR="00402EA6" w:rsidRPr="002D3365" w:rsidRDefault="00402EA6" w:rsidP="00402EA6">
      <w:pPr>
        <w:shd w:val="clear" w:color="auto" w:fill="FFFFFF"/>
        <w:spacing w:before="100" w:beforeAutospacing="1" w:after="60" w:line="240" w:lineRule="auto"/>
        <w:rPr>
          <w:rFonts w:eastAsia="Times New Roman" w:cs="Tahoma"/>
          <w:color w:val="000000"/>
        </w:rPr>
      </w:pPr>
      <w:r w:rsidRPr="002D3365">
        <w:rPr>
          <w:rFonts w:eastAsia="Times New Roman" w:cs="Tahoma"/>
          <w:color w:val="000000"/>
        </w:rPr>
        <w:t xml:space="preserve">The employee’s primary duty must be the performance of work requiring invention, imagination, originality or talent in a recognized field of artistic or creative endeavor. </w:t>
      </w:r>
    </w:p>
    <w:p w14:paraId="7190E28B"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Invention, Imagination, Originality or Talent</w:t>
      </w:r>
    </w:p>
    <w:p w14:paraId="5E4FEBC6"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This requirement distinguishes the creative professions from work that primarily depends on intelligence, diligence and accuracy.  Exemption as a creative professional depends on the extent of the invention, imagination, originality or talent exercised by the employee.  Whether the exemption applies, therefore, must be determined on a case-by-case basis.  The requirements are generally met by actors, musicians, composers, soloists, certain painters, writers, cartoonists, essayists, novelists, and others as set forth in the regulations.  Journalists may satisfy the duties requirements for the creative professional exemption if their primary duty is work requiring invention, imagination, originality or talent.  Journalists are not exempt creative professionals if they only collect, organize and record information that is routine or already public, or if they do not contribute a unique interpretation or analysis to a news product.</w:t>
      </w:r>
    </w:p>
    <w:p w14:paraId="3B14FFBE"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lastRenderedPageBreak/>
        <w:t>Recognized Field of Artistic or Creative Endeavor</w:t>
      </w:r>
    </w:p>
    <w:p w14:paraId="2FA3FCAF"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This includes such fields as, for example, music, writing, acting and the graphic arts.</w:t>
      </w:r>
    </w:p>
    <w:p w14:paraId="41218530"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Teachers</w:t>
      </w:r>
    </w:p>
    <w:p w14:paraId="3DFF6472"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Teachers are exempt if their primary duty is teaching, tutoring, instructing or lecturing in the activity of imparting knowledge, and if they are employed and engaged in this activity as a teacher in an educational establishment.  Exempt teachers include, but are not limited to, regular academic teachers; kindergarten or nursery school teachers; teachers of gifted or disabled children; teachers of skilled and semi-skilled trades and occupations; teachers engaged in automobile driving instruction; aircraft flight instructors; home economics teachers; and vocal or instrument music teachers.  The salary and salary basis requirements do not apply to bona fide teachers. Having a primary duty of teaching, tutoring, instructing or lecturing in the activity of imparting knowledge includes, by its very nature, exercising discretion and judgment. </w:t>
      </w:r>
    </w:p>
    <w:p w14:paraId="09BD335F"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Practice of Law or Medicine</w:t>
      </w:r>
    </w:p>
    <w:p w14:paraId="3A6881B4"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An employee holding a valid license or certificate permitting the practice of law or medicine is exempt if the employee is actually engaged in such a practice.  An employee who holds the requisite academic degree for the general practice of medicine is also exempt if he or she is engaged in an internship or resident program for the profession.  The salary and salary basis requirements do not apply to bona fide practitioners of law or medicine.</w:t>
      </w:r>
    </w:p>
    <w:p w14:paraId="5644A716"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b/>
          <w:bCs/>
          <w:color w:val="000000"/>
        </w:rPr>
        <w:t xml:space="preserve">For additional information, visit Wage and Hour Division Website: </w:t>
      </w:r>
      <w:hyperlink r:id="rId14" w:history="1">
        <w:r w:rsidRPr="002D3365">
          <w:rPr>
            <w:rFonts w:eastAsia="Times New Roman" w:cs="Tahoma"/>
            <w:b/>
            <w:bCs/>
            <w:color w:val="0000FF"/>
            <w:u w:val="single"/>
          </w:rPr>
          <w:t>http://www.wagehour.dol.gov</w:t>
        </w:r>
      </w:hyperlink>
      <w:r w:rsidRPr="002D3365">
        <w:rPr>
          <w:rFonts w:eastAsia="Times New Roman" w:cs="Tahoma"/>
          <w:b/>
          <w:bCs/>
          <w:color w:val="000000"/>
          <w:u w:val="single"/>
        </w:rPr>
        <w:t xml:space="preserve"> </w:t>
      </w:r>
      <w:r w:rsidRPr="002D3365">
        <w:rPr>
          <w:rFonts w:eastAsia="Times New Roman" w:cs="Tahoma"/>
          <w:b/>
          <w:bCs/>
          <w:color w:val="000000"/>
        </w:rPr>
        <w:t>and/or call toll-free information and helpline, available 8 a.m. to 5 p.m. in your time zone, 1-866-4USWAGE (1-866-487-9243).</w:t>
      </w:r>
    </w:p>
    <w:p w14:paraId="22CAE8E3"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When the state laws differ from the federal FLSA, an employer must comply with the standard most protective to employees.  Links to your state labor department can be found at </w:t>
      </w:r>
      <w:hyperlink r:id="rId15" w:history="1">
        <w:r w:rsidRPr="002D3365">
          <w:rPr>
            <w:rFonts w:eastAsia="Times New Roman" w:cs="Tahoma"/>
            <w:color w:val="0000FF"/>
            <w:u w:val="single"/>
          </w:rPr>
          <w:t>www.dol.gov/contacts/state_of.htm</w:t>
        </w:r>
      </w:hyperlink>
      <w:r w:rsidRPr="002D3365">
        <w:rPr>
          <w:rFonts w:eastAsia="Times New Roman" w:cs="Tahoma"/>
          <w:color w:val="000000"/>
        </w:rPr>
        <w:t>.</w:t>
      </w:r>
    </w:p>
    <w:p w14:paraId="5D550389" w14:textId="77777777" w:rsidR="00402EA6" w:rsidRPr="002D3365" w:rsidRDefault="00402EA6" w:rsidP="00402EA6">
      <w:pPr>
        <w:shd w:val="clear" w:color="auto" w:fill="FFFFFF"/>
        <w:spacing w:before="100" w:beforeAutospacing="1" w:after="75" w:line="240" w:lineRule="auto"/>
        <w:rPr>
          <w:rFonts w:eastAsia="Times New Roman" w:cs="Tahoma"/>
          <w:color w:val="000000"/>
        </w:rPr>
      </w:pPr>
      <w:r w:rsidRPr="002D3365">
        <w:rPr>
          <w:rFonts w:eastAsia="Times New Roman" w:cs="Tahoma"/>
          <w:color w:val="000000"/>
        </w:rPr>
        <w:t xml:space="preserve">This publication is for general information and is not to be considered in the same light as official statements of position contained in the regulations. </w:t>
      </w:r>
    </w:p>
    <w:p w14:paraId="21758C04" w14:textId="77777777" w:rsidR="0016654B" w:rsidRPr="002D3365" w:rsidRDefault="0016654B" w:rsidP="00402EA6">
      <w:pPr>
        <w:shd w:val="clear" w:color="auto" w:fill="FFFFFF"/>
        <w:spacing w:before="100" w:beforeAutospacing="1" w:after="75" w:line="240" w:lineRule="auto"/>
        <w:rPr>
          <w:rFonts w:eastAsia="Times New Roman" w:cs="Tahoma"/>
          <w:color w:val="000000"/>
        </w:rPr>
      </w:pPr>
    </w:p>
    <w:p w14:paraId="358948D9" w14:textId="77777777" w:rsidR="0016654B" w:rsidRPr="002D3365" w:rsidRDefault="0016654B" w:rsidP="00402EA6">
      <w:pPr>
        <w:shd w:val="clear" w:color="auto" w:fill="FFFFFF"/>
        <w:spacing w:before="100" w:beforeAutospacing="1" w:after="75" w:line="240" w:lineRule="auto"/>
        <w:rPr>
          <w:rFonts w:eastAsia="Times New Roman" w:cs="Tahoma"/>
          <w:color w:val="000000"/>
        </w:rPr>
      </w:pPr>
    </w:p>
    <w:p w14:paraId="6EBC8D0A" w14:textId="77777777" w:rsidR="0016654B" w:rsidRPr="002D3365" w:rsidRDefault="0016654B" w:rsidP="00402EA6">
      <w:pPr>
        <w:shd w:val="clear" w:color="auto" w:fill="FFFFFF"/>
        <w:spacing w:before="100" w:beforeAutospacing="1" w:after="75" w:line="240" w:lineRule="auto"/>
        <w:rPr>
          <w:rFonts w:eastAsia="Times New Roman" w:cs="Tahoma"/>
          <w:color w:val="000000"/>
        </w:rPr>
      </w:pPr>
    </w:p>
    <w:p w14:paraId="527B9B2A" w14:textId="77777777" w:rsidR="002D3365" w:rsidRDefault="002D3365" w:rsidP="0016654B">
      <w:pPr>
        <w:rPr>
          <w:rFonts w:eastAsia="Times New Roman" w:cs="Tahoma"/>
          <w:bCs/>
          <w:color w:val="000000"/>
        </w:rPr>
      </w:pPr>
    </w:p>
    <w:p w14:paraId="6AFC6EB3" w14:textId="77777777" w:rsidR="002D3365" w:rsidRDefault="002D3365" w:rsidP="0016654B">
      <w:pPr>
        <w:rPr>
          <w:rFonts w:eastAsia="Times New Roman" w:cs="Tahoma"/>
          <w:bCs/>
          <w:color w:val="000000"/>
        </w:rPr>
      </w:pPr>
    </w:p>
    <w:p w14:paraId="712FBE10" w14:textId="77777777" w:rsidR="002D3365" w:rsidRDefault="002D3365" w:rsidP="0016654B">
      <w:pPr>
        <w:rPr>
          <w:rFonts w:eastAsia="Times New Roman" w:cs="Tahoma"/>
          <w:bCs/>
          <w:color w:val="000000"/>
        </w:rPr>
      </w:pPr>
    </w:p>
    <w:p w14:paraId="4F9B6186" w14:textId="77777777" w:rsidR="0016654B" w:rsidRPr="002D3365" w:rsidRDefault="0016654B" w:rsidP="0016654B">
      <w:pPr>
        <w:rPr>
          <w:rFonts w:eastAsia="Times New Roman" w:cs="Tahoma"/>
          <w:color w:val="000000"/>
        </w:rPr>
      </w:pPr>
      <w:r w:rsidRPr="002D3365">
        <w:rPr>
          <w:rFonts w:eastAsia="Times New Roman" w:cs="Tahoma"/>
          <w:bCs/>
          <w:color w:val="000000"/>
        </w:rPr>
        <w:t>Fact Sheet #17D</w:t>
      </w:r>
    </w:p>
    <w:sectPr w:rsidR="0016654B" w:rsidRPr="002D3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nsid w:val="67CB1B69"/>
    <w:multiLevelType w:val="multilevel"/>
    <w:tmpl w:val="60DEAA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430932"/>
    <w:multiLevelType w:val="multilevel"/>
    <w:tmpl w:val="D2A0F5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A6"/>
    <w:rsid w:val="00152EC8"/>
    <w:rsid w:val="0016654B"/>
    <w:rsid w:val="002D3365"/>
    <w:rsid w:val="00402EA6"/>
    <w:rsid w:val="00CB2729"/>
    <w:rsid w:val="00F3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21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99312">
      <w:bodyDiv w:val="1"/>
      <w:marLeft w:val="0"/>
      <w:marRight w:val="0"/>
      <w:marTop w:val="0"/>
      <w:marBottom w:val="0"/>
      <w:divBdr>
        <w:top w:val="none" w:sz="0" w:space="0" w:color="auto"/>
        <w:left w:val="none" w:sz="0" w:space="0" w:color="auto"/>
        <w:bottom w:val="none" w:sz="0" w:space="0" w:color="auto"/>
        <w:right w:val="none" w:sz="0" w:space="0" w:color="auto"/>
      </w:divBdr>
      <w:divsChild>
        <w:div w:id="605965960">
          <w:marLeft w:val="0"/>
          <w:marRight w:val="0"/>
          <w:marTop w:val="0"/>
          <w:marBottom w:val="0"/>
          <w:divBdr>
            <w:top w:val="none" w:sz="0" w:space="0" w:color="auto"/>
            <w:left w:val="none" w:sz="0" w:space="0" w:color="auto"/>
            <w:bottom w:val="none" w:sz="0" w:space="0" w:color="auto"/>
            <w:right w:val="none" w:sz="0" w:space="0" w:color="auto"/>
          </w:divBdr>
          <w:divsChild>
            <w:div w:id="267202591">
              <w:marLeft w:val="0"/>
              <w:marRight w:val="0"/>
              <w:marTop w:val="0"/>
              <w:marBottom w:val="0"/>
              <w:divBdr>
                <w:top w:val="none" w:sz="0" w:space="0" w:color="auto"/>
                <w:left w:val="none" w:sz="0" w:space="0" w:color="auto"/>
                <w:bottom w:val="none" w:sz="0" w:space="0" w:color="auto"/>
                <w:right w:val="none" w:sz="0" w:space="0" w:color="auto"/>
              </w:divBdr>
              <w:divsChild>
                <w:div w:id="145124626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ol.gov/whd/overtime_pay.htm" TargetMode="External"/><Relationship Id="rId12" Type="http://schemas.openxmlformats.org/officeDocument/2006/relationships/hyperlink" Target="https://www.dol.gov/WHD/minimumwage.htm" TargetMode="External"/><Relationship Id="rId13" Type="http://schemas.openxmlformats.org/officeDocument/2006/relationships/hyperlink" Target="https://www.dol.gov/whd/overtime_pay.htm" TargetMode="External"/><Relationship Id="rId14" Type="http://schemas.openxmlformats.org/officeDocument/2006/relationships/hyperlink" Target="https://www.dol.gov/whd" TargetMode="External"/><Relationship Id="rId15" Type="http://schemas.openxmlformats.org/officeDocument/2006/relationships/hyperlink" Target="https://www.dol.gov/whd/contacts/state_of.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ol.gov/WHD/minimumwage.htm" TargetMode="External"/><Relationship Id="rId7" Type="http://schemas.openxmlformats.org/officeDocument/2006/relationships/hyperlink" Target="https://www.dol.gov/whd/overtime_pay.htm" TargetMode="External"/><Relationship Id="rId8" Type="http://schemas.openxmlformats.org/officeDocument/2006/relationships/hyperlink" Target="https://www.dol.gov/cgi-bin/leave-dol.asp?exiturl=http://s.dol.gov/7Z&amp;exitTitle=www.ecfr.gov&amp;fedpage=yes" TargetMode="External"/><Relationship Id="rId9" Type="http://schemas.openxmlformats.org/officeDocument/2006/relationships/hyperlink" Target="https://www.dol.gov/whd/flsa/index.htm" TargetMode="External"/><Relationship Id="rId10" Type="http://schemas.openxmlformats.org/officeDocument/2006/relationships/hyperlink" Target="https://www.dol.gov/WHD/minimum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Willadean Duncan</dc:creator>
  <cp:lastModifiedBy>Douglas Britt</cp:lastModifiedBy>
  <cp:revision>3</cp:revision>
  <dcterms:created xsi:type="dcterms:W3CDTF">2016-05-19T14:33:00Z</dcterms:created>
  <dcterms:modified xsi:type="dcterms:W3CDTF">2016-05-24T12:58:00Z</dcterms:modified>
</cp:coreProperties>
</file>